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heading=h.ay56s0ohnn9h" w:id="0"/>
      <w:bookmarkEnd w:id="0"/>
      <w:r w:rsidDel="00000000" w:rsidR="00000000" w:rsidRPr="00000000">
        <w:rPr>
          <w:rtl w:val="0"/>
        </w:rPr>
        <w:t xml:space="preserve">Vedlegg 6 - Forbehold til konkurransegrunnlaget</w:t>
      </w:r>
    </w:p>
    <w:p w:rsidR="00000000" w:rsidDel="00000000" w:rsidP="00000000" w:rsidRDefault="00000000" w:rsidRPr="00000000" w14:paraId="00000002">
      <w:pPr>
        <w:rPr/>
      </w:pPr>
      <w:bookmarkStart w:colFirst="0" w:colLast="0" w:name="_heading=h.sj6z5lk5dvy3" w:id="1"/>
      <w:bookmarkEnd w:id="1"/>
      <w:r w:rsidDel="00000000" w:rsidR="00000000" w:rsidRPr="00000000">
        <w:rPr>
          <w:rtl w:val="0"/>
        </w:rPr>
      </w:r>
    </w:p>
    <w:p w:rsidR="00000000" w:rsidDel="00000000" w:rsidP="00000000" w:rsidRDefault="00000000" w:rsidRPr="00000000" w14:paraId="00000003">
      <w:pPr>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Tilbyder skal i dette vedlegget bekrefte at de ikke har eller har forbehold konkurransegrunnlaget.</w:t>
      </w:r>
    </w:p>
    <w:p w:rsidR="00000000" w:rsidDel="00000000" w:rsidP="00000000" w:rsidRDefault="00000000" w:rsidRPr="00000000" w14:paraId="00000004">
      <w:pPr>
        <w:rPr>
          <w:rFonts w:ascii="Roboto" w:cs="Roboto" w:eastAsia="Roboto" w:hAnsi="Roboto"/>
          <w:sz w:val="24"/>
          <w:szCs w:val="24"/>
          <w:highlight w:val="white"/>
        </w:rPr>
      </w:pPr>
      <w:r w:rsidDel="00000000" w:rsidR="00000000" w:rsidRPr="00000000">
        <w:rPr>
          <w:rtl w:val="0"/>
        </w:rPr>
      </w:r>
    </w:p>
    <w:p w:rsidR="00000000" w:rsidDel="00000000" w:rsidP="00000000" w:rsidRDefault="00000000" w:rsidRPr="00000000" w14:paraId="00000005">
      <w:pPr>
        <w:widowControl w:val="0"/>
        <w:numPr>
          <w:ilvl w:val="0"/>
          <w:numId w:val="1"/>
        </w:numPr>
        <w:tabs>
          <w:tab w:val="left" w:leader="none" w:pos="993"/>
        </w:tabs>
        <w:spacing w:line="240" w:lineRule="auto"/>
        <w:ind w:left="0" w:hanging="360"/>
        <w:rPr>
          <w:rFonts w:ascii="Roboto" w:cs="Roboto" w:eastAsia="Roboto" w:hAnsi="Roboto"/>
          <w:sz w:val="24"/>
          <w:szCs w:val="24"/>
          <w:highlight w:val="white"/>
        </w:rPr>
      </w:pPr>
      <w:r w:rsidDel="00000000" w:rsidR="00000000" w:rsidRPr="00000000">
        <w:rPr>
          <w:rFonts w:ascii="MS Gothic" w:cs="MS Gothic" w:eastAsia="MS Gothic" w:hAnsi="MS Gothic"/>
          <w:sz w:val="24"/>
          <w:szCs w:val="24"/>
          <w:highlight w:val="white"/>
          <w:rtl w:val="0"/>
        </w:rPr>
        <w:t xml:space="preserve">☐</w:t>
      </w:r>
      <w:r w:rsidDel="00000000" w:rsidR="00000000" w:rsidRPr="00000000">
        <w:rPr>
          <w:rFonts w:ascii="Roboto" w:cs="Roboto" w:eastAsia="Roboto" w:hAnsi="Roboto"/>
          <w:sz w:val="24"/>
          <w:szCs w:val="24"/>
          <w:highlight w:val="white"/>
          <w:rtl w:val="0"/>
        </w:rPr>
        <w:tab/>
        <w:t xml:space="preserve">Leverandøren bekrefter at vi ikke har forbehold til konkurransegrunnlaget</w:t>
        <w:br w:type="textWrapping"/>
      </w:r>
      <w:r w:rsidDel="00000000" w:rsidR="00000000" w:rsidRPr="00000000">
        <w:rPr>
          <w:rFonts w:ascii="MS Gothic" w:cs="MS Gothic" w:eastAsia="MS Gothic" w:hAnsi="MS Gothic"/>
          <w:sz w:val="24"/>
          <w:szCs w:val="24"/>
          <w:highlight w:val="white"/>
          <w:rtl w:val="0"/>
        </w:rPr>
        <w:t xml:space="preserve">☐</w:t>
      </w:r>
      <w:r w:rsidDel="00000000" w:rsidR="00000000" w:rsidRPr="00000000">
        <w:rPr>
          <w:rFonts w:ascii="Roboto" w:cs="Roboto" w:eastAsia="Roboto" w:hAnsi="Roboto"/>
          <w:sz w:val="24"/>
          <w:szCs w:val="24"/>
          <w:highlight w:val="white"/>
          <w:rtl w:val="0"/>
        </w:rPr>
        <w:tab/>
        <w:t xml:space="preserve">Leverandøren har forbehold til konkurransegrunnlaget</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Tilbyder skal i underliggende skjema henvise til de eventuelle punkter i konkurransegrunnlaget som det enkelte forbehold/avviket refererer til.</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Tilbyder skal oppgi hvilken prismessig konsekvens forbeholdet innebærer dersom oppdragsgiver ikke kan akseptere forbeholdet. Dersom det ikke er oppgitt noen konsekvens for pris, vil oppdragsgiver legge til grunn at forbeholdet er av frivillig karakter og det derfor er fritt for oppdragsgiver å akseptere forbeholdet eller ikke. Oppdragsgiver gjør oppmerksom på at forbehold av vesentlig karakter vil kunne medføre avvisning av tilbudet. </w:t>
      </w:r>
    </w:p>
    <w:p w:rsidR="00000000" w:rsidDel="00000000" w:rsidP="00000000" w:rsidRDefault="00000000" w:rsidRPr="00000000" w14:paraId="0000000A">
      <w:pPr>
        <w:rPr>
          <w:rFonts w:ascii="Roboto" w:cs="Roboto" w:eastAsia="Roboto" w:hAnsi="Roboto"/>
          <w:sz w:val="24"/>
          <w:szCs w:val="24"/>
          <w:highlight w:val="white"/>
        </w:rPr>
      </w:pPr>
      <w:r w:rsidDel="00000000" w:rsidR="00000000" w:rsidRPr="00000000">
        <w:rPr>
          <w:rtl w:val="0"/>
        </w:rPr>
      </w:r>
    </w:p>
    <w:p w:rsidR="00000000" w:rsidDel="00000000" w:rsidP="00000000" w:rsidRDefault="00000000" w:rsidRPr="00000000" w14:paraId="0000000B">
      <w:pPr>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Hvis forbeholdet vurderes til å overføre risiko ved gjennomføring av kontrakten fra leverandør til oppdragsgiver, kan dette medføre avvisning av tilbudet.  </w:t>
      </w:r>
    </w:p>
    <w:p w:rsidR="00000000" w:rsidDel="00000000" w:rsidP="00000000" w:rsidRDefault="00000000" w:rsidRPr="00000000" w14:paraId="0000000C">
      <w:pPr>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Avvikene skal være presise og entydige, slik at oppdragsgiver kan vurdere dem uten kontakt med tilbyder. </w:t>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55"/>
        <w:gridCol w:w="3645"/>
        <w:gridCol w:w="3000"/>
        <w:tblGridChange w:id="0">
          <w:tblGrid>
            <w:gridCol w:w="2355"/>
            <w:gridCol w:w="3645"/>
            <w:gridCol w:w="300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Dokument og punkt</w:t>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Beskrivelse av forbeholdet</w:t>
            </w:r>
          </w:p>
        </w:tc>
        <w:tc>
          <w:tcPr>
            <w:shd w:fill="auto" w:val="clear"/>
            <w:tcMar>
              <w:top w:w="100.0" w:type="dxa"/>
              <w:left w:w="100.0" w:type="dxa"/>
              <w:bottom w:w="100.0" w:type="dxa"/>
              <w:right w:w="100.0" w:type="dxa"/>
            </w:tcMar>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Økonomisk konsekvens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r>
      <w:tr>
        <w:trPr>
          <w:cantSplit w:val="0"/>
          <w:trHeight w:val="198"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line="240" w:lineRule="auto"/>
              <w:rPr>
                <w:rFonts w:ascii="Roboto" w:cs="Roboto" w:eastAsia="Roboto" w:hAnsi="Roboto"/>
                <w:sz w:val="24"/>
                <w:szCs w:val="24"/>
                <w:highlight w:val="white"/>
              </w:rPr>
            </w:pPr>
            <w:r w:rsidDel="00000000" w:rsidR="00000000" w:rsidRPr="00000000">
              <w:rPr>
                <w:rtl w:val="0"/>
              </w:rPr>
            </w:r>
          </w:p>
        </w:tc>
      </w:tr>
    </w:tbl>
    <w:p w:rsidR="00000000" w:rsidDel="00000000" w:rsidP="00000000" w:rsidRDefault="00000000" w:rsidRPr="00000000" w14:paraId="00000025">
      <w:pPr>
        <w:rPr>
          <w:rFonts w:ascii="Roboto" w:cs="Roboto" w:eastAsia="Roboto" w:hAnsi="Roboto"/>
          <w:sz w:val="24"/>
          <w:szCs w:val="24"/>
          <w:highlight w:val="white"/>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S Gothic"/>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o"/>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QOGrDyUPOrCbEXgd3cq6FV3i7w==">CgMxLjAyDmguYXk1NnMwb2hubjloMg5oLnNqNno1bGs1ZHZ5MzgAciExLU10UU44ZUJSTkhJQ1RDckhVT050RUhxTGM2Wk1USGc=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